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016FE" w14:textId="60C29121" w:rsidR="009D0D9F" w:rsidRDefault="009D0D9F" w:rsidP="009D0D9F">
      <w:pPr>
        <w:spacing w:after="120" w:line="276" w:lineRule="auto"/>
        <w:jc w:val="both"/>
        <w:rPr>
          <w:rFonts w:ascii="Times New Roman" w:hAnsi="Times New Roman" w:cs="Times New Roman"/>
          <w:sz w:val="24"/>
          <w:szCs w:val="24"/>
        </w:rPr>
      </w:pPr>
    </w:p>
    <w:p w14:paraId="234692FB" w14:textId="43E9D5D6" w:rsidR="009D0D9F" w:rsidRPr="001244D0" w:rsidRDefault="009D0D9F" w:rsidP="009D0D9F">
      <w:pPr>
        <w:spacing w:after="120" w:line="276" w:lineRule="auto"/>
        <w:jc w:val="center"/>
        <w:rPr>
          <w:rFonts w:ascii="Arial" w:hAnsi="Arial" w:cs="Arial"/>
          <w:b/>
          <w:bCs/>
          <w:sz w:val="28"/>
          <w:szCs w:val="28"/>
        </w:rPr>
      </w:pPr>
      <w:r w:rsidRPr="009D0D9F">
        <w:rPr>
          <w:rFonts w:ascii="Arial" w:hAnsi="Arial" w:cs="Arial"/>
          <w:b/>
          <w:bCs/>
          <w:sz w:val="28"/>
          <w:szCs w:val="28"/>
        </w:rPr>
        <w:t>ALLEGATO TECNICO DI SINTESI</w:t>
      </w:r>
    </w:p>
    <w:p w14:paraId="1734E4A5" w14:textId="77777777" w:rsidR="009D0D9F" w:rsidRDefault="009D0D9F" w:rsidP="009D0D9F">
      <w:pPr>
        <w:spacing w:after="0" w:line="360" w:lineRule="auto"/>
        <w:jc w:val="both"/>
        <w:rPr>
          <w:rFonts w:ascii="Arial" w:hAnsi="Arial" w:cs="Arial"/>
          <w:sz w:val="24"/>
          <w:szCs w:val="24"/>
        </w:rPr>
      </w:pPr>
    </w:p>
    <w:p w14:paraId="15C0E8B8" w14:textId="3C9E1268" w:rsidR="009D0D9F" w:rsidRDefault="009D0D9F" w:rsidP="009D0D9F">
      <w:pPr>
        <w:spacing w:after="0" w:line="360" w:lineRule="auto"/>
        <w:jc w:val="both"/>
        <w:rPr>
          <w:rFonts w:ascii="Arial" w:hAnsi="Arial" w:cs="Arial"/>
          <w:sz w:val="24"/>
          <w:szCs w:val="24"/>
        </w:rPr>
      </w:pPr>
      <w:r w:rsidRPr="002137E8">
        <w:rPr>
          <w:rFonts w:ascii="Arial" w:hAnsi="Arial" w:cs="Arial"/>
          <w:sz w:val="24"/>
          <w:szCs w:val="24"/>
        </w:rPr>
        <w:t xml:space="preserve">In data 15 dicembre 2021 </w:t>
      </w:r>
      <w:r>
        <w:rPr>
          <w:rFonts w:ascii="Arial" w:hAnsi="Arial" w:cs="Arial"/>
          <w:sz w:val="24"/>
          <w:szCs w:val="24"/>
        </w:rPr>
        <w:t>sono</w:t>
      </w:r>
      <w:r w:rsidRPr="002137E8">
        <w:rPr>
          <w:rFonts w:ascii="Arial" w:hAnsi="Arial" w:cs="Arial"/>
          <w:sz w:val="24"/>
          <w:szCs w:val="24"/>
        </w:rPr>
        <w:t xml:space="preserve"> </w:t>
      </w:r>
      <w:r>
        <w:rPr>
          <w:rFonts w:ascii="Arial" w:hAnsi="Arial" w:cs="Arial"/>
          <w:sz w:val="24"/>
          <w:szCs w:val="24"/>
        </w:rPr>
        <w:t>state completate le analisi in campo relative</w:t>
      </w:r>
      <w:r w:rsidRPr="002137E8">
        <w:rPr>
          <w:rFonts w:ascii="Arial" w:hAnsi="Arial" w:cs="Arial"/>
          <w:sz w:val="24"/>
          <w:szCs w:val="24"/>
        </w:rPr>
        <w:t xml:space="preserve"> alla realizzazione del </w:t>
      </w:r>
      <w:r w:rsidRPr="002137E8">
        <w:rPr>
          <w:rFonts w:ascii="Arial" w:hAnsi="Arial" w:cs="Arial"/>
          <w:i/>
          <w:iCs/>
          <w:sz w:val="24"/>
          <w:szCs w:val="24"/>
        </w:rPr>
        <w:t xml:space="preserve">“Piano della Caratterizzazione Ambientale finalizzato alla bonifica delle Aree della Zona Falcata ai sensi del </w:t>
      </w:r>
      <w:proofErr w:type="spellStart"/>
      <w:r w:rsidRPr="002137E8">
        <w:rPr>
          <w:rFonts w:ascii="Arial" w:hAnsi="Arial" w:cs="Arial"/>
          <w:i/>
          <w:iCs/>
          <w:sz w:val="24"/>
          <w:szCs w:val="24"/>
        </w:rPr>
        <w:t>D.Lgs</w:t>
      </w:r>
      <w:proofErr w:type="spellEnd"/>
      <w:r w:rsidRPr="002137E8">
        <w:rPr>
          <w:rFonts w:ascii="Arial" w:hAnsi="Arial" w:cs="Arial"/>
          <w:i/>
          <w:iCs/>
          <w:sz w:val="24"/>
          <w:szCs w:val="24"/>
        </w:rPr>
        <w:t xml:space="preserve"> 152/06 nel comune di Messina”</w:t>
      </w:r>
      <w:r w:rsidRPr="002137E8">
        <w:rPr>
          <w:rFonts w:ascii="Arial" w:hAnsi="Arial" w:cs="Arial"/>
          <w:sz w:val="24"/>
          <w:szCs w:val="24"/>
        </w:rPr>
        <w:t>.</w:t>
      </w:r>
    </w:p>
    <w:p w14:paraId="24ACA626" w14:textId="77777777" w:rsidR="009D0D9F" w:rsidRDefault="009D0D9F" w:rsidP="009D0D9F">
      <w:pPr>
        <w:spacing w:after="0" w:line="360" w:lineRule="auto"/>
        <w:jc w:val="both"/>
        <w:rPr>
          <w:rFonts w:ascii="Arial" w:hAnsi="Arial" w:cs="Arial"/>
          <w:sz w:val="24"/>
          <w:szCs w:val="24"/>
        </w:rPr>
      </w:pPr>
      <w:r w:rsidRPr="002137E8">
        <w:rPr>
          <w:rFonts w:ascii="Arial" w:hAnsi="Arial" w:cs="Arial"/>
          <w:sz w:val="24"/>
          <w:szCs w:val="24"/>
        </w:rPr>
        <w:t>Detto piano</w:t>
      </w:r>
      <w:r>
        <w:rPr>
          <w:rFonts w:ascii="Arial" w:hAnsi="Arial" w:cs="Arial"/>
          <w:sz w:val="24"/>
          <w:szCs w:val="24"/>
        </w:rPr>
        <w:t xml:space="preserve"> era stato predisposto </w:t>
      </w:r>
      <w:proofErr w:type="spellStart"/>
      <w:r>
        <w:rPr>
          <w:rFonts w:ascii="Arial" w:hAnsi="Arial" w:cs="Arial"/>
          <w:sz w:val="24"/>
          <w:szCs w:val="24"/>
        </w:rPr>
        <w:t>dall’AdSP</w:t>
      </w:r>
      <w:proofErr w:type="spellEnd"/>
      <w:r>
        <w:rPr>
          <w:rFonts w:ascii="Arial" w:hAnsi="Arial" w:cs="Arial"/>
          <w:sz w:val="24"/>
          <w:szCs w:val="24"/>
        </w:rPr>
        <w:t xml:space="preserve"> dello Stretto con il supporto dell’Università di Messina e fu </w:t>
      </w:r>
      <w:r w:rsidRPr="002137E8">
        <w:rPr>
          <w:rFonts w:ascii="Arial" w:hAnsi="Arial" w:cs="Arial"/>
          <w:sz w:val="24"/>
          <w:szCs w:val="24"/>
        </w:rPr>
        <w:t>approvato</w:t>
      </w:r>
      <w:r>
        <w:rPr>
          <w:rFonts w:ascii="Arial" w:hAnsi="Arial" w:cs="Arial"/>
          <w:sz w:val="24"/>
          <w:szCs w:val="24"/>
        </w:rPr>
        <w:t xml:space="preserve"> dalla Regione Siciliana, a seguito di esame in apposita</w:t>
      </w:r>
      <w:r w:rsidRPr="002137E8">
        <w:rPr>
          <w:rFonts w:ascii="Arial" w:hAnsi="Arial" w:cs="Arial"/>
          <w:sz w:val="24"/>
          <w:szCs w:val="24"/>
        </w:rPr>
        <w:t xml:space="preserve"> conferenza dei servizi</w:t>
      </w:r>
      <w:r>
        <w:rPr>
          <w:rFonts w:ascii="Arial" w:hAnsi="Arial" w:cs="Arial"/>
          <w:sz w:val="24"/>
          <w:szCs w:val="24"/>
        </w:rPr>
        <w:t>,</w:t>
      </w:r>
      <w:r w:rsidRPr="002137E8">
        <w:rPr>
          <w:rFonts w:ascii="Arial" w:hAnsi="Arial" w:cs="Arial"/>
          <w:sz w:val="24"/>
          <w:szCs w:val="24"/>
        </w:rPr>
        <w:t xml:space="preserve"> con D.D.S. n.144 del 20 febbraio 2020</w:t>
      </w:r>
      <w:r>
        <w:rPr>
          <w:rFonts w:ascii="Arial" w:hAnsi="Arial" w:cs="Arial"/>
          <w:sz w:val="24"/>
          <w:szCs w:val="24"/>
        </w:rPr>
        <w:t xml:space="preserve">. </w:t>
      </w:r>
    </w:p>
    <w:p w14:paraId="0E6EC857" w14:textId="77777777" w:rsidR="009D0D9F" w:rsidRPr="002137E8" w:rsidRDefault="009D0D9F" w:rsidP="009D0D9F">
      <w:pPr>
        <w:spacing w:after="0" w:line="360" w:lineRule="auto"/>
        <w:jc w:val="both"/>
        <w:rPr>
          <w:rFonts w:ascii="Arial" w:hAnsi="Arial" w:cs="Arial"/>
          <w:sz w:val="24"/>
          <w:szCs w:val="24"/>
        </w:rPr>
      </w:pPr>
      <w:r>
        <w:rPr>
          <w:rFonts w:ascii="Arial" w:hAnsi="Arial" w:cs="Arial"/>
          <w:sz w:val="24"/>
          <w:szCs w:val="24"/>
        </w:rPr>
        <w:t>Le indagini in questione,</w:t>
      </w:r>
      <w:r w:rsidRPr="002137E8">
        <w:rPr>
          <w:rFonts w:ascii="Arial" w:hAnsi="Arial" w:cs="Arial"/>
          <w:sz w:val="24"/>
          <w:szCs w:val="24"/>
        </w:rPr>
        <w:t xml:space="preserve"> </w:t>
      </w:r>
      <w:r>
        <w:rPr>
          <w:rFonts w:ascii="Arial" w:hAnsi="Arial" w:cs="Arial"/>
          <w:sz w:val="24"/>
          <w:szCs w:val="24"/>
        </w:rPr>
        <w:t xml:space="preserve">che </w:t>
      </w:r>
      <w:r w:rsidRPr="002137E8">
        <w:rPr>
          <w:rFonts w:ascii="Arial" w:hAnsi="Arial" w:cs="Arial"/>
          <w:sz w:val="24"/>
          <w:szCs w:val="24"/>
        </w:rPr>
        <w:t>ha</w:t>
      </w:r>
      <w:r>
        <w:rPr>
          <w:rFonts w:ascii="Arial" w:hAnsi="Arial" w:cs="Arial"/>
          <w:sz w:val="24"/>
          <w:szCs w:val="24"/>
        </w:rPr>
        <w:t>nno</w:t>
      </w:r>
      <w:r w:rsidRPr="002137E8">
        <w:rPr>
          <w:rFonts w:ascii="Arial" w:hAnsi="Arial" w:cs="Arial"/>
          <w:sz w:val="24"/>
          <w:szCs w:val="24"/>
        </w:rPr>
        <w:t xml:space="preserve"> avuto inizio lo scorso giugno 2021</w:t>
      </w:r>
      <w:r>
        <w:rPr>
          <w:rFonts w:ascii="Arial" w:hAnsi="Arial" w:cs="Arial"/>
          <w:sz w:val="24"/>
          <w:szCs w:val="24"/>
        </w:rPr>
        <w:t xml:space="preserve">, sono state eseguite dal </w:t>
      </w:r>
      <w:r w:rsidRPr="00CE3AFF">
        <w:rPr>
          <w:rFonts w:ascii="Arial" w:hAnsi="Arial" w:cs="Arial"/>
          <w:sz w:val="24"/>
          <w:szCs w:val="24"/>
        </w:rPr>
        <w:t>R.T.I. Chimica Applicata Depu</w:t>
      </w:r>
      <w:r>
        <w:rPr>
          <w:rFonts w:ascii="Arial" w:hAnsi="Arial" w:cs="Arial"/>
          <w:sz w:val="24"/>
          <w:szCs w:val="24"/>
        </w:rPr>
        <w:t xml:space="preserve">razione Acque di Giglio Filippo </w:t>
      </w:r>
      <w:r w:rsidRPr="00CE3AFF">
        <w:rPr>
          <w:rFonts w:ascii="Arial" w:hAnsi="Arial" w:cs="Arial"/>
          <w:sz w:val="24"/>
          <w:szCs w:val="24"/>
        </w:rPr>
        <w:t xml:space="preserve">e c. snc, </w:t>
      </w:r>
      <w:proofErr w:type="gramStart"/>
      <w:r>
        <w:rPr>
          <w:rFonts w:ascii="Arial" w:hAnsi="Arial" w:cs="Arial"/>
          <w:sz w:val="24"/>
          <w:szCs w:val="24"/>
        </w:rPr>
        <w:t>di  Menfi</w:t>
      </w:r>
      <w:proofErr w:type="gramEnd"/>
      <w:r>
        <w:rPr>
          <w:rFonts w:ascii="Arial" w:hAnsi="Arial" w:cs="Arial"/>
          <w:sz w:val="24"/>
          <w:szCs w:val="24"/>
        </w:rPr>
        <w:t xml:space="preserve"> (AG) </w:t>
      </w:r>
      <w:r w:rsidRPr="00CE3AFF">
        <w:rPr>
          <w:rFonts w:ascii="Arial" w:hAnsi="Arial" w:cs="Arial"/>
          <w:sz w:val="24"/>
          <w:szCs w:val="24"/>
        </w:rPr>
        <w:t xml:space="preserve"> (CAPOGRUPPO) - Geo </w:t>
      </w:r>
      <w:proofErr w:type="spellStart"/>
      <w:r w:rsidRPr="00CE3AFF">
        <w:rPr>
          <w:rFonts w:ascii="Arial" w:hAnsi="Arial" w:cs="Arial"/>
          <w:sz w:val="24"/>
          <w:szCs w:val="24"/>
        </w:rPr>
        <w:t>Gav</w:t>
      </w:r>
      <w:proofErr w:type="spellEnd"/>
      <w:r w:rsidRPr="00CE3AFF">
        <w:rPr>
          <w:rFonts w:ascii="Arial" w:hAnsi="Arial" w:cs="Arial"/>
          <w:sz w:val="24"/>
          <w:szCs w:val="24"/>
        </w:rPr>
        <w:t xml:space="preserve"> srl, </w:t>
      </w:r>
      <w:r>
        <w:rPr>
          <w:rFonts w:ascii="Arial" w:hAnsi="Arial" w:cs="Arial"/>
          <w:sz w:val="24"/>
          <w:szCs w:val="24"/>
        </w:rPr>
        <w:t xml:space="preserve">di Favara (AG) </w:t>
      </w:r>
      <w:r w:rsidRPr="00CE3AFF">
        <w:rPr>
          <w:rFonts w:ascii="Arial" w:hAnsi="Arial" w:cs="Arial"/>
          <w:sz w:val="24"/>
          <w:szCs w:val="24"/>
        </w:rPr>
        <w:t xml:space="preserve">(MANDANTE) </w:t>
      </w:r>
      <w:r>
        <w:rPr>
          <w:rFonts w:ascii="Arial" w:hAnsi="Arial" w:cs="Arial"/>
          <w:sz w:val="24"/>
          <w:szCs w:val="24"/>
        </w:rPr>
        <w:t xml:space="preserve"> e Atlantis società cooperativa</w:t>
      </w:r>
      <w:r w:rsidRPr="00CE3AFF">
        <w:rPr>
          <w:rFonts w:ascii="Arial" w:hAnsi="Arial" w:cs="Arial"/>
          <w:sz w:val="24"/>
          <w:szCs w:val="24"/>
        </w:rPr>
        <w:t xml:space="preserve"> </w:t>
      </w:r>
      <w:r>
        <w:rPr>
          <w:rFonts w:ascii="Arial" w:hAnsi="Arial" w:cs="Arial"/>
          <w:sz w:val="24"/>
          <w:szCs w:val="24"/>
        </w:rPr>
        <w:t xml:space="preserve">di </w:t>
      </w:r>
      <w:r w:rsidRPr="00CE3AFF">
        <w:rPr>
          <w:rFonts w:ascii="Arial" w:hAnsi="Arial" w:cs="Arial"/>
          <w:sz w:val="24"/>
          <w:szCs w:val="24"/>
        </w:rPr>
        <w:t xml:space="preserve">Monreale (PA) </w:t>
      </w:r>
      <w:r>
        <w:rPr>
          <w:rFonts w:ascii="Arial" w:hAnsi="Arial" w:cs="Arial"/>
          <w:sz w:val="24"/>
          <w:szCs w:val="24"/>
        </w:rPr>
        <w:t>(MANDANTE) che si era aggiudicato una gara ad evidenza pubblica per un importo di euro</w:t>
      </w:r>
      <w:r w:rsidRPr="00CE3AFF">
        <w:rPr>
          <w:rFonts w:ascii="Arial" w:hAnsi="Arial" w:cs="Arial"/>
          <w:sz w:val="24"/>
          <w:szCs w:val="24"/>
        </w:rPr>
        <w:t xml:space="preserve"> 242.698,97</w:t>
      </w:r>
      <w:r>
        <w:rPr>
          <w:rFonts w:ascii="Arial" w:hAnsi="Arial" w:cs="Arial"/>
          <w:sz w:val="24"/>
          <w:szCs w:val="24"/>
        </w:rPr>
        <w:t>,</w:t>
      </w:r>
      <w:r w:rsidRPr="002137E8">
        <w:rPr>
          <w:rFonts w:ascii="Arial" w:hAnsi="Arial" w:cs="Arial"/>
          <w:sz w:val="24"/>
          <w:szCs w:val="24"/>
        </w:rPr>
        <w:t xml:space="preserve"> </w:t>
      </w:r>
      <w:r>
        <w:rPr>
          <w:rFonts w:ascii="Arial" w:hAnsi="Arial" w:cs="Arial"/>
          <w:sz w:val="24"/>
          <w:szCs w:val="24"/>
        </w:rPr>
        <w:t xml:space="preserve">sotto la supervisione tecnica di SOGESID. Esse </w:t>
      </w:r>
      <w:r w:rsidRPr="002137E8">
        <w:rPr>
          <w:rFonts w:ascii="Arial" w:hAnsi="Arial" w:cs="Arial"/>
          <w:sz w:val="24"/>
          <w:szCs w:val="24"/>
        </w:rPr>
        <w:t>ha</w:t>
      </w:r>
      <w:r>
        <w:rPr>
          <w:rFonts w:ascii="Arial" w:hAnsi="Arial" w:cs="Arial"/>
          <w:sz w:val="24"/>
          <w:szCs w:val="24"/>
        </w:rPr>
        <w:t>nno</w:t>
      </w:r>
      <w:r w:rsidRPr="002137E8">
        <w:rPr>
          <w:rFonts w:ascii="Arial" w:hAnsi="Arial" w:cs="Arial"/>
          <w:sz w:val="24"/>
          <w:szCs w:val="24"/>
        </w:rPr>
        <w:t xml:space="preserve"> interessato due aree distinte: </w:t>
      </w:r>
    </w:p>
    <w:p w14:paraId="4B085E7D" w14:textId="77777777" w:rsidR="009D0D9F" w:rsidRPr="002137E8" w:rsidRDefault="009D0D9F" w:rsidP="009D0D9F">
      <w:pPr>
        <w:pStyle w:val="Paragrafoelenco"/>
        <w:numPr>
          <w:ilvl w:val="0"/>
          <w:numId w:val="1"/>
        </w:numPr>
        <w:spacing w:line="360" w:lineRule="auto"/>
        <w:rPr>
          <w:rFonts w:eastAsia="Times" w:cs="Arial"/>
        </w:rPr>
      </w:pPr>
      <w:r w:rsidRPr="002137E8">
        <w:rPr>
          <w:rFonts w:cs="Arial"/>
        </w:rPr>
        <w:t xml:space="preserve">una </w:t>
      </w:r>
      <w:r w:rsidRPr="002137E8">
        <w:rPr>
          <w:rFonts w:cs="Arial"/>
          <w:i/>
          <w:iCs/>
        </w:rPr>
        <w:t>zona marina</w:t>
      </w:r>
      <w:r w:rsidRPr="002137E8">
        <w:rPr>
          <w:rFonts w:cs="Arial"/>
        </w:rPr>
        <w:t xml:space="preserve"> in cui sono stati effettuati dei rilievi </w:t>
      </w:r>
      <w:r>
        <w:rPr>
          <w:rFonts w:cs="Arial"/>
        </w:rPr>
        <w:t>in mare</w:t>
      </w:r>
      <w:r w:rsidRPr="002137E8">
        <w:rPr>
          <w:rFonts w:cs="Arial"/>
        </w:rPr>
        <w:t xml:space="preserve"> tramite strumentazione </w:t>
      </w:r>
      <w:r w:rsidRPr="002137E8">
        <w:rPr>
          <w:rFonts w:cs="Arial"/>
          <w:i/>
        </w:rPr>
        <w:t xml:space="preserve">Side </w:t>
      </w:r>
      <w:proofErr w:type="spellStart"/>
      <w:r w:rsidRPr="002137E8">
        <w:rPr>
          <w:rFonts w:cs="Arial"/>
          <w:i/>
        </w:rPr>
        <w:t>Scan</w:t>
      </w:r>
      <w:proofErr w:type="spellEnd"/>
      <w:r w:rsidRPr="002137E8">
        <w:rPr>
          <w:rFonts w:cs="Arial"/>
          <w:i/>
        </w:rPr>
        <w:t xml:space="preserve"> Sonar (SSS)</w:t>
      </w:r>
      <w:r w:rsidRPr="002137E8">
        <w:rPr>
          <w:rFonts w:cs="Arial"/>
        </w:rPr>
        <w:t xml:space="preserve"> per la ricostruzione della morfologia dei fondali marini e prelievi di campioni di sedimenti marini superficiali; </w:t>
      </w:r>
    </w:p>
    <w:p w14:paraId="1B1DB3AF" w14:textId="77777777" w:rsidR="009D0D9F" w:rsidRPr="002137E8" w:rsidRDefault="009D0D9F" w:rsidP="009D0D9F">
      <w:pPr>
        <w:pStyle w:val="Paragrafoelenco"/>
        <w:numPr>
          <w:ilvl w:val="0"/>
          <w:numId w:val="1"/>
        </w:numPr>
        <w:spacing w:line="360" w:lineRule="auto"/>
        <w:rPr>
          <w:rFonts w:eastAsia="Times" w:cs="Arial"/>
        </w:rPr>
      </w:pPr>
      <w:r w:rsidRPr="002137E8">
        <w:rPr>
          <w:rFonts w:cs="Arial"/>
        </w:rPr>
        <w:t xml:space="preserve">una </w:t>
      </w:r>
      <w:r>
        <w:rPr>
          <w:rFonts w:cs="Arial"/>
          <w:i/>
          <w:iCs/>
        </w:rPr>
        <w:t>zona terrestre</w:t>
      </w:r>
      <w:r w:rsidRPr="002137E8">
        <w:rPr>
          <w:rFonts w:cs="Arial"/>
          <w:i/>
          <w:iCs/>
        </w:rPr>
        <w:t xml:space="preserve"> </w:t>
      </w:r>
      <w:r w:rsidRPr="002137E8">
        <w:rPr>
          <w:rFonts w:cs="Arial"/>
        </w:rPr>
        <w:t xml:space="preserve">in cui sono state effettuate trivellazioni ambientali e prelievi di campioni di suoli, sottosuoli e acque sotterranee necessari per la </w:t>
      </w:r>
      <w:r>
        <w:rPr>
          <w:rFonts w:cs="Arial"/>
        </w:rPr>
        <w:t>valutazione dello stato di qualità ambientale delle matrici naturali</w:t>
      </w:r>
      <w:r w:rsidRPr="002137E8">
        <w:rPr>
          <w:rFonts w:cs="Arial"/>
        </w:rPr>
        <w:t xml:space="preserve">. </w:t>
      </w:r>
    </w:p>
    <w:p w14:paraId="5D8304FB"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rPr>
      </w:pPr>
      <w:r>
        <w:rPr>
          <w:rFonts w:ascii="Arial" w:hAnsi="Arial" w:cs="Arial"/>
          <w:sz w:val="24"/>
          <w:szCs w:val="24"/>
        </w:rPr>
        <w:t xml:space="preserve">Nel suo complesso l’indagine ambientale ha interessato un’area con </w:t>
      </w:r>
      <w:r w:rsidRPr="002137E8">
        <w:rPr>
          <w:rFonts w:ascii="Arial" w:hAnsi="Arial" w:cs="Arial"/>
          <w:sz w:val="24"/>
          <w:szCs w:val="24"/>
        </w:rPr>
        <w:t xml:space="preserve">estensione spaziale di circa </w:t>
      </w:r>
      <w:r>
        <w:rPr>
          <w:rFonts w:ascii="Arial" w:hAnsi="Arial" w:cs="Arial"/>
          <w:sz w:val="24"/>
          <w:szCs w:val="24"/>
        </w:rPr>
        <w:t>17 ettari</w:t>
      </w:r>
      <w:r w:rsidRPr="002137E8">
        <w:rPr>
          <w:rFonts w:ascii="Arial" w:hAnsi="Arial" w:cs="Arial"/>
          <w:sz w:val="24"/>
          <w:szCs w:val="24"/>
        </w:rPr>
        <w:t xml:space="preserve"> racchiusa in un perimetro di circa 2</w:t>
      </w:r>
      <w:r>
        <w:rPr>
          <w:rFonts w:ascii="Arial" w:hAnsi="Arial" w:cs="Arial"/>
          <w:sz w:val="24"/>
          <w:szCs w:val="24"/>
        </w:rPr>
        <w:t>.200</w:t>
      </w:r>
      <w:r w:rsidRPr="002137E8">
        <w:rPr>
          <w:rFonts w:ascii="Arial" w:hAnsi="Arial" w:cs="Arial"/>
          <w:sz w:val="24"/>
          <w:szCs w:val="24"/>
        </w:rPr>
        <w:t xml:space="preserve"> </w:t>
      </w:r>
      <w:r w:rsidRPr="004F1886">
        <w:rPr>
          <w:rFonts w:ascii="Arial" w:hAnsi="Arial" w:cs="Arial"/>
          <w:sz w:val="24"/>
          <w:szCs w:val="24"/>
        </w:rPr>
        <w:t xml:space="preserve">m e l’antistante zona </w:t>
      </w:r>
      <w:proofErr w:type="gramStart"/>
      <w:r w:rsidRPr="004F1886">
        <w:rPr>
          <w:rFonts w:ascii="Arial" w:hAnsi="Arial" w:cs="Arial"/>
          <w:sz w:val="24"/>
          <w:szCs w:val="24"/>
        </w:rPr>
        <w:t xml:space="preserve">marina </w:t>
      </w:r>
      <w:r>
        <w:rPr>
          <w:rFonts w:ascii="Arial" w:hAnsi="Arial" w:cs="Arial"/>
          <w:sz w:val="24"/>
          <w:szCs w:val="24"/>
        </w:rPr>
        <w:t xml:space="preserve"> che</w:t>
      </w:r>
      <w:proofErr w:type="gramEnd"/>
      <w:r>
        <w:rPr>
          <w:rFonts w:ascii="Arial" w:hAnsi="Arial" w:cs="Arial"/>
          <w:sz w:val="24"/>
          <w:szCs w:val="24"/>
        </w:rPr>
        <w:t xml:space="preserve"> può essere ben identificato nella planimetria di seguito.</w:t>
      </w:r>
    </w:p>
    <w:p w14:paraId="06630B2C" w14:textId="77777777" w:rsidR="009D0D9F" w:rsidRPr="002137E8" w:rsidRDefault="009D0D9F" w:rsidP="009D0D9F">
      <w:pPr>
        <w:tabs>
          <w:tab w:val="num" w:pos="709"/>
          <w:tab w:val="num" w:pos="851"/>
        </w:tabs>
        <w:spacing w:after="0" w:line="360" w:lineRule="auto"/>
        <w:ind w:right="-142" w:firstLine="17"/>
        <w:jc w:val="center"/>
        <w:rPr>
          <w:rFonts w:ascii="Arial" w:hAnsi="Arial" w:cs="Arial"/>
          <w:sz w:val="24"/>
          <w:szCs w:val="24"/>
        </w:rPr>
      </w:pPr>
      <w:r w:rsidRPr="001945C0">
        <w:rPr>
          <w:rFonts w:ascii="Arial" w:hAnsi="Arial" w:cs="Arial"/>
          <w:noProof/>
          <w:sz w:val="24"/>
          <w:szCs w:val="24"/>
          <w:lang w:eastAsia="it-IT"/>
        </w:rPr>
        <w:lastRenderedPageBreak/>
        <w:drawing>
          <wp:inline distT="0" distB="0" distL="0" distR="0" wp14:anchorId="2A259DFD" wp14:editId="002ACCC1">
            <wp:extent cx="6010275" cy="4239455"/>
            <wp:effectExtent l="0" t="0" r="0" b="889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5778" t="12310" r="19346" b="6339"/>
                    <a:stretch/>
                  </pic:blipFill>
                  <pic:spPr bwMode="auto">
                    <a:xfrm>
                      <a:off x="0" y="0"/>
                      <a:ext cx="6013225" cy="4241536"/>
                    </a:xfrm>
                    <a:prstGeom prst="rect">
                      <a:avLst/>
                    </a:prstGeom>
                    <a:ln>
                      <a:noFill/>
                    </a:ln>
                    <a:extLst>
                      <a:ext uri="{53640926-AAD7-44D8-BBD7-CCE9431645EC}">
                        <a14:shadowObscured xmlns:a14="http://schemas.microsoft.com/office/drawing/2010/main"/>
                      </a:ext>
                    </a:extLst>
                  </pic:spPr>
                </pic:pic>
              </a:graphicData>
            </a:graphic>
          </wp:inline>
        </w:drawing>
      </w:r>
    </w:p>
    <w:p w14:paraId="20B03F5F"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rPr>
      </w:pPr>
    </w:p>
    <w:p w14:paraId="247BF5AE"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rPr>
      </w:pPr>
      <w:r w:rsidRPr="002137E8">
        <w:rPr>
          <w:rFonts w:ascii="Arial" w:hAnsi="Arial" w:cs="Arial"/>
          <w:sz w:val="24"/>
          <w:szCs w:val="24"/>
        </w:rPr>
        <w:t xml:space="preserve">Il piano della caratterizzazione è stato realizzato attraverso lo sviluppo di attività di indagine eseguite </w:t>
      </w:r>
      <w:r w:rsidRPr="002137E8">
        <w:rPr>
          <w:rFonts w:ascii="Arial" w:hAnsi="Arial" w:cs="Arial"/>
          <w:i/>
          <w:sz w:val="24"/>
          <w:szCs w:val="24"/>
        </w:rPr>
        <w:t>in situ</w:t>
      </w:r>
      <w:r w:rsidRPr="002137E8">
        <w:rPr>
          <w:rFonts w:ascii="Arial" w:hAnsi="Arial" w:cs="Arial"/>
          <w:sz w:val="24"/>
          <w:szCs w:val="24"/>
        </w:rPr>
        <w:t xml:space="preserve"> (realizzazione sondaggi, prelievo campioni, prove di permeabilità del tipo “SLUG TEST”, misure in campo, profili sonda, ecc.) e attività tecnico analitiche eseguite </w:t>
      </w:r>
      <w:r w:rsidRPr="002137E8">
        <w:rPr>
          <w:rFonts w:ascii="Arial" w:hAnsi="Arial" w:cs="Arial"/>
          <w:i/>
          <w:sz w:val="24"/>
          <w:szCs w:val="24"/>
        </w:rPr>
        <w:t>ex situ</w:t>
      </w:r>
      <w:r w:rsidRPr="002137E8">
        <w:rPr>
          <w:rFonts w:ascii="Arial" w:hAnsi="Arial" w:cs="Arial"/>
          <w:sz w:val="24"/>
          <w:szCs w:val="24"/>
        </w:rPr>
        <w:t xml:space="preserve"> (analisi chimico fisica dei campioni, elaborazioni statistiche e geostatistiche interpretazione dei dati, ecc.). </w:t>
      </w:r>
    </w:p>
    <w:p w14:paraId="428CE9B4"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rPr>
      </w:pPr>
      <w:r>
        <w:rPr>
          <w:rFonts w:ascii="Arial" w:hAnsi="Arial" w:cs="Arial"/>
          <w:sz w:val="24"/>
          <w:szCs w:val="24"/>
        </w:rPr>
        <w:t xml:space="preserve">Per quanto riguarda la componente marina sono </w:t>
      </w:r>
      <w:r w:rsidRPr="002137E8">
        <w:rPr>
          <w:rFonts w:ascii="Arial" w:hAnsi="Arial" w:cs="Arial"/>
          <w:sz w:val="24"/>
          <w:szCs w:val="24"/>
        </w:rPr>
        <w:t xml:space="preserve">stati </w:t>
      </w:r>
      <w:r>
        <w:rPr>
          <w:rFonts w:ascii="Arial" w:hAnsi="Arial" w:cs="Arial"/>
          <w:sz w:val="24"/>
          <w:szCs w:val="24"/>
        </w:rPr>
        <w:t xml:space="preserve">realizzati </w:t>
      </w:r>
      <w:r w:rsidRPr="002137E8">
        <w:rPr>
          <w:rFonts w:ascii="Arial" w:hAnsi="Arial" w:cs="Arial"/>
          <w:b/>
          <w:bCs/>
          <w:sz w:val="24"/>
          <w:szCs w:val="24"/>
        </w:rPr>
        <w:t>N° 5 transetti</w:t>
      </w:r>
      <w:r w:rsidRPr="002137E8">
        <w:rPr>
          <w:rFonts w:ascii="Arial" w:hAnsi="Arial" w:cs="Arial"/>
          <w:sz w:val="24"/>
          <w:szCs w:val="24"/>
        </w:rPr>
        <w:t xml:space="preserve"> </w:t>
      </w:r>
      <w:r>
        <w:rPr>
          <w:rFonts w:ascii="Arial" w:hAnsi="Arial" w:cs="Arial"/>
          <w:sz w:val="24"/>
          <w:szCs w:val="24"/>
        </w:rPr>
        <w:t xml:space="preserve">perpendicolari alla linea di costa estesi dalla battigia fino alla batimetrica dei 20 metri e dai quali sono stati prelevati un totale di 30 campioni di sedimenti marini superficiali sui cui sono state eseguite mirate attività analitiche per la valutazione della contaminazione chimica ed </w:t>
      </w:r>
      <w:proofErr w:type="spellStart"/>
      <w:r>
        <w:rPr>
          <w:rFonts w:ascii="Arial" w:hAnsi="Arial" w:cs="Arial"/>
          <w:sz w:val="24"/>
          <w:szCs w:val="24"/>
        </w:rPr>
        <w:t>ecotossicologica</w:t>
      </w:r>
      <w:proofErr w:type="spellEnd"/>
      <w:r>
        <w:rPr>
          <w:rFonts w:ascii="Arial" w:hAnsi="Arial" w:cs="Arial"/>
          <w:sz w:val="24"/>
          <w:szCs w:val="24"/>
        </w:rPr>
        <w:t>.</w:t>
      </w:r>
    </w:p>
    <w:p w14:paraId="32EE81E6"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lang w:eastAsia="ar-SA"/>
        </w:rPr>
      </w:pPr>
      <w:r>
        <w:rPr>
          <w:rFonts w:ascii="Arial" w:hAnsi="Arial" w:cs="Arial"/>
          <w:sz w:val="24"/>
          <w:szCs w:val="24"/>
        </w:rPr>
        <w:t xml:space="preserve">Per quanto concerne </w:t>
      </w:r>
      <w:r w:rsidRPr="002137E8">
        <w:rPr>
          <w:rFonts w:ascii="Arial" w:hAnsi="Arial" w:cs="Arial"/>
          <w:sz w:val="24"/>
          <w:szCs w:val="24"/>
        </w:rPr>
        <w:t xml:space="preserve">la componente </w:t>
      </w:r>
      <w:r>
        <w:rPr>
          <w:rFonts w:ascii="Arial" w:hAnsi="Arial" w:cs="Arial"/>
          <w:sz w:val="24"/>
          <w:szCs w:val="24"/>
        </w:rPr>
        <w:t>terrestre sono</w:t>
      </w:r>
      <w:r w:rsidRPr="002137E8">
        <w:rPr>
          <w:rFonts w:ascii="Arial" w:hAnsi="Arial" w:cs="Arial"/>
          <w:sz w:val="24"/>
          <w:szCs w:val="24"/>
        </w:rPr>
        <w:t xml:space="preserve"> stati realizzati </w:t>
      </w:r>
      <w:r w:rsidRPr="002137E8">
        <w:rPr>
          <w:rFonts w:ascii="Arial" w:hAnsi="Arial" w:cs="Arial"/>
          <w:b/>
          <w:bCs/>
          <w:sz w:val="24"/>
          <w:szCs w:val="24"/>
          <w:lang w:eastAsia="ar-SA"/>
        </w:rPr>
        <w:t xml:space="preserve">N° 40 sondaggi </w:t>
      </w:r>
      <w:r w:rsidRPr="002137E8">
        <w:rPr>
          <w:rFonts w:ascii="Arial" w:hAnsi="Arial" w:cs="Arial"/>
          <w:sz w:val="24"/>
          <w:szCs w:val="24"/>
          <w:lang w:eastAsia="ar-SA"/>
        </w:rPr>
        <w:t xml:space="preserve">di tipo ambientale a carotaggio continuo al fine di indagare uno spessore significativo del sottosuolo compatibile con l’attendibilità </w:t>
      </w:r>
      <w:r>
        <w:rPr>
          <w:rFonts w:ascii="Arial" w:hAnsi="Arial" w:cs="Arial"/>
          <w:sz w:val="24"/>
          <w:szCs w:val="24"/>
          <w:lang w:eastAsia="ar-SA"/>
        </w:rPr>
        <w:t xml:space="preserve">del modello concettuale preliminare </w:t>
      </w:r>
      <w:r w:rsidRPr="002137E8">
        <w:rPr>
          <w:rFonts w:ascii="Arial" w:hAnsi="Arial" w:cs="Arial"/>
          <w:sz w:val="24"/>
          <w:szCs w:val="24"/>
          <w:lang w:eastAsia="ar-SA"/>
        </w:rPr>
        <w:t xml:space="preserve">e in particolare: </w:t>
      </w:r>
      <w:r w:rsidRPr="002137E8">
        <w:rPr>
          <w:rFonts w:ascii="Arial" w:hAnsi="Arial" w:cs="Arial"/>
          <w:b/>
          <w:bCs/>
          <w:sz w:val="24"/>
          <w:szCs w:val="24"/>
          <w:lang w:eastAsia="ar-SA"/>
        </w:rPr>
        <w:t>N°22 sondaggi</w:t>
      </w:r>
      <w:r w:rsidRPr="002137E8">
        <w:rPr>
          <w:rFonts w:ascii="Arial" w:hAnsi="Arial" w:cs="Arial"/>
          <w:sz w:val="24"/>
          <w:szCs w:val="24"/>
          <w:lang w:eastAsia="ar-SA"/>
        </w:rPr>
        <w:t xml:space="preserve"> spinti sino a 10 m dal p.c., </w:t>
      </w:r>
      <w:r w:rsidRPr="002137E8">
        <w:rPr>
          <w:rFonts w:ascii="Arial" w:hAnsi="Arial" w:cs="Arial"/>
          <w:b/>
          <w:bCs/>
          <w:sz w:val="24"/>
          <w:szCs w:val="24"/>
          <w:lang w:eastAsia="ar-SA"/>
        </w:rPr>
        <w:t>n°14 sondaggi</w:t>
      </w:r>
      <w:r w:rsidRPr="002137E8">
        <w:rPr>
          <w:rFonts w:ascii="Arial" w:hAnsi="Arial" w:cs="Arial"/>
          <w:sz w:val="24"/>
          <w:szCs w:val="24"/>
          <w:lang w:eastAsia="ar-SA"/>
        </w:rPr>
        <w:t xml:space="preserve"> sino a 15 m dal p.c. e </w:t>
      </w:r>
      <w:r w:rsidRPr="002137E8">
        <w:rPr>
          <w:rFonts w:ascii="Arial" w:hAnsi="Arial" w:cs="Arial"/>
          <w:b/>
          <w:bCs/>
          <w:sz w:val="24"/>
          <w:szCs w:val="24"/>
          <w:lang w:eastAsia="ar-SA"/>
        </w:rPr>
        <w:t>n°4 sondaggi</w:t>
      </w:r>
      <w:r w:rsidRPr="002137E8">
        <w:rPr>
          <w:rFonts w:ascii="Arial" w:hAnsi="Arial" w:cs="Arial"/>
          <w:sz w:val="24"/>
          <w:szCs w:val="24"/>
          <w:lang w:eastAsia="ar-SA"/>
        </w:rPr>
        <w:t xml:space="preserve"> sino a 20 m.</w:t>
      </w:r>
      <w:r>
        <w:rPr>
          <w:rFonts w:ascii="Arial" w:hAnsi="Arial" w:cs="Arial"/>
          <w:sz w:val="24"/>
          <w:szCs w:val="24"/>
          <w:lang w:eastAsia="ar-SA"/>
        </w:rPr>
        <w:t xml:space="preserve"> La distribuzione dei sondaggi è stata di tipo sistematico predisponendo un </w:t>
      </w:r>
      <w:r>
        <w:rPr>
          <w:rFonts w:ascii="Arial" w:hAnsi="Arial" w:cs="Arial"/>
          <w:sz w:val="24"/>
          <w:szCs w:val="24"/>
          <w:lang w:eastAsia="ar-SA"/>
        </w:rPr>
        <w:lastRenderedPageBreak/>
        <w:t xml:space="preserve">reticolo di maglia 65mx65m che sovrapposto al sito oggetto di indagine ha permesso una copertura totale dell’intero territorio indagato. </w:t>
      </w:r>
    </w:p>
    <w:p w14:paraId="02FA106D"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lang w:eastAsia="ar-SA"/>
        </w:rPr>
      </w:pPr>
      <w:r>
        <w:rPr>
          <w:rFonts w:ascii="Arial" w:hAnsi="Arial" w:cs="Arial"/>
          <w:sz w:val="24"/>
          <w:szCs w:val="24"/>
          <w:lang w:eastAsia="ar-SA"/>
        </w:rPr>
        <w:t xml:space="preserve">Per ciascun sondaggio, a intervalli prestabiliti, sono stati prelevati i campioni di suolo e sottosuolo per le successive analisi chimico-fisiche finalizzate alla verifica del rispetto delle </w:t>
      </w:r>
      <w:r w:rsidRPr="00163056">
        <w:rPr>
          <w:rFonts w:ascii="Arial" w:hAnsi="Arial" w:cs="Arial"/>
          <w:i/>
          <w:sz w:val="24"/>
          <w:szCs w:val="24"/>
          <w:lang w:eastAsia="ar-SA"/>
        </w:rPr>
        <w:t>Concentrazioni Soglia di Contaminazione</w:t>
      </w:r>
      <w:r>
        <w:rPr>
          <w:rFonts w:ascii="Arial" w:hAnsi="Arial" w:cs="Arial"/>
          <w:sz w:val="24"/>
          <w:szCs w:val="24"/>
          <w:lang w:eastAsia="ar-SA"/>
        </w:rPr>
        <w:t xml:space="preserve"> (CSC) previste dalla tab. 1, colonna A, All.5, parte V, Titolo V del </w:t>
      </w:r>
      <w:proofErr w:type="spellStart"/>
      <w:r>
        <w:rPr>
          <w:rFonts w:ascii="Arial" w:hAnsi="Arial" w:cs="Arial"/>
          <w:sz w:val="24"/>
          <w:szCs w:val="24"/>
          <w:lang w:eastAsia="ar-SA"/>
        </w:rPr>
        <w:t>D.Lgs</w:t>
      </w:r>
      <w:proofErr w:type="spellEnd"/>
      <w:r>
        <w:rPr>
          <w:rFonts w:ascii="Arial" w:hAnsi="Arial" w:cs="Arial"/>
          <w:sz w:val="24"/>
          <w:szCs w:val="24"/>
          <w:lang w:eastAsia="ar-SA"/>
        </w:rPr>
        <w:t xml:space="preserve"> 152/06.</w:t>
      </w:r>
    </w:p>
    <w:p w14:paraId="4E54DE18"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lang w:eastAsia="ar-SA"/>
        </w:rPr>
      </w:pPr>
      <w:r>
        <w:rPr>
          <w:rFonts w:ascii="Arial" w:hAnsi="Arial" w:cs="Arial"/>
          <w:sz w:val="24"/>
          <w:szCs w:val="24"/>
          <w:lang w:eastAsia="ar-SA"/>
        </w:rPr>
        <w:t>Nel complesso sono stati prelevati e analizzati 160 campioni di suolo e sottosuolo per un totale di circa 15.000 determinazioni analitiche.</w:t>
      </w:r>
    </w:p>
    <w:p w14:paraId="28D916EA"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lang w:eastAsia="ar-SA"/>
        </w:rPr>
      </w:pPr>
      <w:r>
        <w:rPr>
          <w:rFonts w:ascii="Arial" w:hAnsi="Arial" w:cs="Arial"/>
          <w:sz w:val="24"/>
          <w:szCs w:val="24"/>
          <w:lang w:eastAsia="ar-SA"/>
        </w:rPr>
        <w:t xml:space="preserve">Al fine di ottenere approfondite conoscenze in merito allo stato di qualità delle acque sotterranee soggiacenti il sito in esame, 20 dei 40 sondaggi realizzati sono stati “attrezzati” a piezometro, ovvero, sono stati opportunamente predisposti dei presidi per il campionamento delle acque sotterranee per le successive analisi chimico-fisiche finalizzate alla verifica del rispetto delle </w:t>
      </w:r>
      <w:r w:rsidRPr="00163056">
        <w:rPr>
          <w:rFonts w:ascii="Arial" w:hAnsi="Arial" w:cs="Arial"/>
          <w:i/>
          <w:sz w:val="24"/>
          <w:szCs w:val="24"/>
          <w:lang w:eastAsia="ar-SA"/>
        </w:rPr>
        <w:t>Concentrazioni Soglia di Contaminazione</w:t>
      </w:r>
      <w:r>
        <w:rPr>
          <w:rFonts w:ascii="Arial" w:hAnsi="Arial" w:cs="Arial"/>
          <w:sz w:val="24"/>
          <w:szCs w:val="24"/>
          <w:lang w:eastAsia="ar-SA"/>
        </w:rPr>
        <w:t xml:space="preserve"> (CSC) previste dalla tab. 2, All.5, parte V, Titolo V del </w:t>
      </w:r>
      <w:proofErr w:type="spellStart"/>
      <w:r>
        <w:rPr>
          <w:rFonts w:ascii="Arial" w:hAnsi="Arial" w:cs="Arial"/>
          <w:sz w:val="24"/>
          <w:szCs w:val="24"/>
          <w:lang w:eastAsia="ar-SA"/>
        </w:rPr>
        <w:t>D.Lgs</w:t>
      </w:r>
      <w:proofErr w:type="spellEnd"/>
      <w:r>
        <w:rPr>
          <w:rFonts w:ascii="Arial" w:hAnsi="Arial" w:cs="Arial"/>
          <w:sz w:val="24"/>
          <w:szCs w:val="24"/>
          <w:lang w:eastAsia="ar-SA"/>
        </w:rPr>
        <w:t xml:space="preserve"> 152/06.</w:t>
      </w:r>
    </w:p>
    <w:p w14:paraId="2B50D179"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lang w:eastAsia="ar-SA"/>
        </w:rPr>
      </w:pPr>
      <w:r>
        <w:rPr>
          <w:rFonts w:ascii="Arial" w:hAnsi="Arial" w:cs="Arial"/>
          <w:sz w:val="24"/>
          <w:szCs w:val="24"/>
          <w:lang w:eastAsia="ar-SA"/>
        </w:rPr>
        <w:t>Nel complesso sono stati prelevati e analizzati 20 campioni di acque sotterranee per un totale di circa 2.000 determinazioni analitiche, oltre all’esecuzione di una serie di indagini strumentali di campo che hanno permesso la ricostruzione dell’assetto idrogeologico sito specifico e le interazioni che le acque di falda hanno con le acque marine adiacenti di cui risento significativamente.</w:t>
      </w:r>
    </w:p>
    <w:p w14:paraId="5680C6DA" w14:textId="63343EA5" w:rsidR="009D0D9F" w:rsidRDefault="009D0D9F" w:rsidP="009D0D9F">
      <w:pPr>
        <w:tabs>
          <w:tab w:val="num" w:pos="709"/>
          <w:tab w:val="num" w:pos="851"/>
        </w:tabs>
        <w:spacing w:after="0" w:line="360" w:lineRule="auto"/>
        <w:ind w:right="-142" w:firstLine="17"/>
        <w:jc w:val="both"/>
        <w:rPr>
          <w:rFonts w:ascii="Arial" w:hAnsi="Arial" w:cs="Arial"/>
          <w:sz w:val="24"/>
          <w:szCs w:val="24"/>
          <w:lang w:eastAsia="ar-SA"/>
        </w:rPr>
      </w:pPr>
      <w:r>
        <w:rPr>
          <w:rFonts w:ascii="Arial" w:hAnsi="Arial" w:cs="Arial"/>
          <w:sz w:val="24"/>
          <w:szCs w:val="24"/>
          <w:lang w:eastAsia="ar-SA"/>
        </w:rPr>
        <w:t xml:space="preserve">In accordo con quanto previsto dalla normativa vigente, le attività di campionamento e di analisi sono state eseguite in contraddittorio con gli organi </w:t>
      </w:r>
      <w:r w:rsidRPr="00E16872">
        <w:rPr>
          <w:rFonts w:ascii="Arial" w:hAnsi="Arial" w:cs="Arial"/>
          <w:sz w:val="24"/>
          <w:szCs w:val="24"/>
          <w:lang w:eastAsia="ar-SA"/>
        </w:rPr>
        <w:t xml:space="preserve">preposti al controllo </w:t>
      </w:r>
      <w:r>
        <w:rPr>
          <w:rFonts w:ascii="Arial" w:hAnsi="Arial" w:cs="Arial"/>
          <w:sz w:val="24"/>
          <w:szCs w:val="24"/>
          <w:lang w:eastAsia="ar-SA"/>
        </w:rPr>
        <w:t xml:space="preserve">e </w:t>
      </w:r>
      <w:r w:rsidRPr="00E16872">
        <w:rPr>
          <w:rFonts w:ascii="Arial" w:hAnsi="Arial" w:cs="Arial"/>
          <w:sz w:val="24"/>
          <w:szCs w:val="24"/>
          <w:lang w:eastAsia="ar-SA"/>
        </w:rPr>
        <w:t xml:space="preserve">validazione </w:t>
      </w:r>
      <w:r>
        <w:rPr>
          <w:rFonts w:ascii="Arial" w:hAnsi="Arial" w:cs="Arial"/>
          <w:sz w:val="24"/>
          <w:szCs w:val="24"/>
          <w:lang w:eastAsia="ar-SA"/>
        </w:rPr>
        <w:t xml:space="preserve">della </w:t>
      </w:r>
      <w:r w:rsidRPr="00E16872">
        <w:rPr>
          <w:rFonts w:ascii="Arial" w:hAnsi="Arial" w:cs="Arial"/>
          <w:sz w:val="24"/>
          <w:szCs w:val="24"/>
          <w:lang w:eastAsia="ar-SA"/>
        </w:rPr>
        <w:t>campagna di indagine</w:t>
      </w:r>
      <w:r>
        <w:rPr>
          <w:rFonts w:ascii="Arial" w:hAnsi="Arial" w:cs="Arial"/>
          <w:sz w:val="24"/>
          <w:szCs w:val="24"/>
          <w:lang w:eastAsia="ar-SA"/>
        </w:rPr>
        <w:t xml:space="preserve"> e cioè ARPA Sicilia</w:t>
      </w:r>
      <w:r>
        <w:rPr>
          <w:rFonts w:ascii="Arial" w:hAnsi="Arial" w:cs="Arial"/>
          <w:sz w:val="24"/>
          <w:szCs w:val="24"/>
          <w:lang w:eastAsia="ar-SA"/>
        </w:rPr>
        <w:t>.</w:t>
      </w:r>
    </w:p>
    <w:p w14:paraId="2559865E" w14:textId="77777777" w:rsidR="009D0D9F" w:rsidRPr="001B1484" w:rsidRDefault="009D0D9F" w:rsidP="009D0D9F">
      <w:pPr>
        <w:tabs>
          <w:tab w:val="num" w:pos="709"/>
          <w:tab w:val="num" w:pos="851"/>
        </w:tabs>
        <w:spacing w:after="0" w:line="360" w:lineRule="auto"/>
        <w:ind w:right="-142" w:firstLine="17"/>
        <w:jc w:val="both"/>
        <w:rPr>
          <w:rFonts w:ascii="Arial" w:hAnsi="Arial" w:cs="Arial"/>
          <w:sz w:val="24"/>
          <w:szCs w:val="24"/>
          <w:lang w:eastAsia="ar-SA"/>
        </w:rPr>
      </w:pPr>
      <w:r w:rsidRPr="00FB06D7">
        <w:rPr>
          <w:rFonts w:ascii="Arial" w:hAnsi="Arial" w:cs="Arial"/>
          <w:sz w:val="24"/>
          <w:szCs w:val="24"/>
          <w:lang w:eastAsia="ar-SA"/>
        </w:rPr>
        <w:t xml:space="preserve">Da una prima lettura dei risultati delle indagini si evidenzia una contaminazione estesa sia dal punto di vista geografico che dal punto di vista della natura chimica dei contaminanti, confermando di fatto le risultanze degli studi preliminari condotti dall’Università di Messina e che hanno portato alla redazione del Piano di Caratterizzazione e quindi alla campagna di indagine da poco conclusa. </w:t>
      </w:r>
    </w:p>
    <w:p w14:paraId="76849093" w14:textId="77777777" w:rsidR="009D0D9F" w:rsidRPr="00E16872" w:rsidRDefault="009D0D9F" w:rsidP="009D0D9F">
      <w:pPr>
        <w:tabs>
          <w:tab w:val="num" w:pos="709"/>
          <w:tab w:val="num" w:pos="851"/>
        </w:tabs>
        <w:spacing w:after="0" w:line="360" w:lineRule="auto"/>
        <w:ind w:right="-142"/>
        <w:jc w:val="both"/>
        <w:rPr>
          <w:rFonts w:ascii="Arial" w:hAnsi="Arial" w:cs="Arial"/>
          <w:sz w:val="24"/>
          <w:szCs w:val="24"/>
          <w:lang w:eastAsia="ar-SA"/>
        </w:rPr>
      </w:pPr>
      <w:r w:rsidRPr="00C458D1">
        <w:rPr>
          <w:rFonts w:ascii="Arial" w:hAnsi="Arial" w:cs="Arial"/>
          <w:sz w:val="24"/>
          <w:szCs w:val="24"/>
          <w:lang w:eastAsia="ar-SA"/>
        </w:rPr>
        <w:t>Dai risultati ottenuti con la campagna di indagine</w:t>
      </w:r>
      <w:r>
        <w:rPr>
          <w:rFonts w:ascii="Arial" w:hAnsi="Arial" w:cs="Arial"/>
          <w:sz w:val="24"/>
          <w:szCs w:val="24"/>
          <w:lang w:eastAsia="ar-SA"/>
        </w:rPr>
        <w:t xml:space="preserve"> da poco conclusa</w:t>
      </w:r>
      <w:r w:rsidRPr="00C458D1">
        <w:rPr>
          <w:rFonts w:ascii="Arial" w:hAnsi="Arial" w:cs="Arial"/>
          <w:sz w:val="24"/>
          <w:szCs w:val="24"/>
          <w:lang w:eastAsia="ar-SA"/>
        </w:rPr>
        <w:t xml:space="preserve"> appare evidente che i</w:t>
      </w:r>
      <w:r>
        <w:rPr>
          <w:rFonts w:ascii="Arial" w:hAnsi="Arial" w:cs="Arial"/>
          <w:sz w:val="24"/>
          <w:szCs w:val="24"/>
          <w:lang w:eastAsia="ar-SA"/>
        </w:rPr>
        <w:t xml:space="preserve"> </w:t>
      </w:r>
      <w:r w:rsidRPr="00C458D1">
        <w:rPr>
          <w:rFonts w:ascii="Arial" w:hAnsi="Arial" w:cs="Arial"/>
          <w:sz w:val="24"/>
          <w:szCs w:val="24"/>
          <w:lang w:eastAsia="ar-SA"/>
        </w:rPr>
        <w:t>superamenti delle CSC (Concentrazione Soglia di Contaminazione)</w:t>
      </w:r>
      <w:r>
        <w:rPr>
          <w:rFonts w:ascii="Arial" w:hAnsi="Arial" w:cs="Arial"/>
          <w:sz w:val="24"/>
          <w:szCs w:val="24"/>
          <w:lang w:eastAsia="ar-SA"/>
        </w:rPr>
        <w:t xml:space="preserve"> di metalli, </w:t>
      </w:r>
      <w:r w:rsidRPr="00C458D1">
        <w:rPr>
          <w:rFonts w:ascii="Arial" w:hAnsi="Arial" w:cs="Arial"/>
          <w:sz w:val="24"/>
          <w:szCs w:val="24"/>
          <w:lang w:eastAsia="ar-SA"/>
        </w:rPr>
        <w:t>idrocarburi pesanti C&gt;12, idrocarburi pesanti C&lt;12, Idrocarbu</w:t>
      </w:r>
      <w:r>
        <w:rPr>
          <w:rFonts w:ascii="Arial" w:hAnsi="Arial" w:cs="Arial"/>
          <w:sz w:val="24"/>
          <w:szCs w:val="24"/>
          <w:lang w:eastAsia="ar-SA"/>
        </w:rPr>
        <w:t xml:space="preserve">ri Policiclici Aromatici (IPA), </w:t>
      </w:r>
      <w:r w:rsidRPr="00C458D1">
        <w:rPr>
          <w:rFonts w:ascii="Arial" w:hAnsi="Arial" w:cs="Arial"/>
          <w:sz w:val="24"/>
          <w:szCs w:val="24"/>
          <w:lang w:eastAsia="ar-SA"/>
        </w:rPr>
        <w:t>pesticidi, PCB, Diossine e Furani, indicano che l’area oggetto di indagin</w:t>
      </w:r>
      <w:r>
        <w:rPr>
          <w:rFonts w:ascii="Arial" w:hAnsi="Arial" w:cs="Arial"/>
          <w:sz w:val="24"/>
          <w:szCs w:val="24"/>
          <w:lang w:eastAsia="ar-SA"/>
        </w:rPr>
        <w:t xml:space="preserve">e può essere </w:t>
      </w:r>
      <w:r w:rsidRPr="00C458D1">
        <w:rPr>
          <w:rFonts w:ascii="Arial" w:hAnsi="Arial" w:cs="Arial"/>
          <w:sz w:val="24"/>
          <w:szCs w:val="24"/>
          <w:lang w:eastAsia="ar-SA"/>
        </w:rPr>
        <w:t>definito</w:t>
      </w:r>
      <w:r>
        <w:rPr>
          <w:rFonts w:ascii="Arial" w:hAnsi="Arial" w:cs="Arial"/>
          <w:sz w:val="24"/>
          <w:szCs w:val="24"/>
          <w:lang w:eastAsia="ar-SA"/>
        </w:rPr>
        <w:t xml:space="preserve"> un</w:t>
      </w:r>
      <w:r w:rsidRPr="00C458D1">
        <w:rPr>
          <w:rFonts w:ascii="Arial" w:hAnsi="Arial" w:cs="Arial"/>
          <w:sz w:val="24"/>
          <w:szCs w:val="24"/>
          <w:lang w:eastAsia="ar-SA"/>
        </w:rPr>
        <w:t xml:space="preserve"> “sito </w:t>
      </w:r>
      <w:r w:rsidRPr="00C458D1">
        <w:rPr>
          <w:rFonts w:ascii="Arial" w:hAnsi="Arial" w:cs="Arial"/>
          <w:sz w:val="24"/>
          <w:szCs w:val="24"/>
          <w:lang w:eastAsia="ar-SA"/>
        </w:rPr>
        <w:lastRenderedPageBreak/>
        <w:t>potenzialmente contaminato”, così come p</w:t>
      </w:r>
      <w:r>
        <w:rPr>
          <w:rFonts w:ascii="Arial" w:hAnsi="Arial" w:cs="Arial"/>
          <w:sz w:val="24"/>
          <w:szCs w:val="24"/>
          <w:lang w:eastAsia="ar-SA"/>
        </w:rPr>
        <w:t>untualmente descritto dall’art.</w:t>
      </w:r>
      <w:r w:rsidRPr="00C458D1">
        <w:rPr>
          <w:rFonts w:ascii="Arial" w:hAnsi="Arial" w:cs="Arial"/>
          <w:sz w:val="24"/>
          <w:szCs w:val="24"/>
          <w:lang w:eastAsia="ar-SA"/>
        </w:rPr>
        <w:t xml:space="preserve">240, comma d del </w:t>
      </w:r>
      <w:proofErr w:type="gramStart"/>
      <w:r w:rsidRPr="00C458D1">
        <w:rPr>
          <w:rFonts w:ascii="Arial" w:hAnsi="Arial" w:cs="Arial"/>
          <w:sz w:val="24"/>
          <w:szCs w:val="24"/>
          <w:lang w:eastAsia="ar-SA"/>
        </w:rPr>
        <w:t>D.Lgs</w:t>
      </w:r>
      <w:proofErr w:type="gramEnd"/>
      <w:r w:rsidRPr="00C458D1">
        <w:rPr>
          <w:rFonts w:ascii="Arial" w:hAnsi="Arial" w:cs="Arial"/>
          <w:sz w:val="24"/>
          <w:szCs w:val="24"/>
          <w:lang w:eastAsia="ar-SA"/>
        </w:rPr>
        <w:t>.152/20061.</w:t>
      </w:r>
    </w:p>
    <w:p w14:paraId="56AB3BBB" w14:textId="77777777" w:rsidR="009D0D9F" w:rsidRDefault="009D0D9F" w:rsidP="009D0D9F">
      <w:pPr>
        <w:tabs>
          <w:tab w:val="num" w:pos="709"/>
          <w:tab w:val="num" w:pos="851"/>
        </w:tabs>
        <w:spacing w:after="0" w:line="360" w:lineRule="auto"/>
        <w:ind w:right="-142"/>
        <w:jc w:val="both"/>
        <w:rPr>
          <w:rFonts w:ascii="Arial" w:hAnsi="Arial" w:cs="Arial"/>
          <w:sz w:val="24"/>
          <w:szCs w:val="24"/>
        </w:rPr>
      </w:pPr>
      <w:r>
        <w:rPr>
          <w:rFonts w:ascii="Arial" w:hAnsi="Arial" w:cs="Arial"/>
          <w:sz w:val="24"/>
          <w:szCs w:val="24"/>
          <w:lang w:eastAsia="ar-SA"/>
        </w:rPr>
        <w:t xml:space="preserve">I risultati del </w:t>
      </w:r>
      <w:r w:rsidRPr="00E16872">
        <w:rPr>
          <w:rFonts w:ascii="Arial" w:hAnsi="Arial" w:cs="Arial"/>
          <w:sz w:val="24"/>
          <w:szCs w:val="24"/>
          <w:lang w:eastAsia="ar-SA"/>
        </w:rPr>
        <w:t xml:space="preserve">Piano della Caratterizzazione ambientale, redatto e attuato in accordo con quanto dettato dall’allegato 2 parte IV titolo V del </w:t>
      </w:r>
      <w:proofErr w:type="spellStart"/>
      <w:r w:rsidRPr="00E16872">
        <w:rPr>
          <w:rFonts w:ascii="Arial" w:hAnsi="Arial" w:cs="Arial"/>
          <w:sz w:val="24"/>
          <w:szCs w:val="24"/>
          <w:lang w:eastAsia="ar-SA"/>
        </w:rPr>
        <w:t>D.Lgs</w:t>
      </w:r>
      <w:proofErr w:type="spellEnd"/>
      <w:r w:rsidRPr="00E16872">
        <w:rPr>
          <w:rFonts w:ascii="Arial" w:hAnsi="Arial" w:cs="Arial"/>
          <w:sz w:val="24"/>
          <w:szCs w:val="24"/>
          <w:lang w:eastAsia="ar-SA"/>
        </w:rPr>
        <w:t xml:space="preserve"> 152/06,</w:t>
      </w:r>
      <w:r w:rsidRPr="00E16872">
        <w:rPr>
          <w:rFonts w:ascii="Arial" w:hAnsi="Arial" w:cs="Arial"/>
          <w:sz w:val="24"/>
          <w:szCs w:val="24"/>
        </w:rPr>
        <w:t xml:space="preserve"> </w:t>
      </w:r>
      <w:r>
        <w:rPr>
          <w:rFonts w:ascii="Arial" w:hAnsi="Arial" w:cs="Arial"/>
          <w:sz w:val="24"/>
          <w:szCs w:val="24"/>
        </w:rPr>
        <w:t xml:space="preserve">ora costituiscono </w:t>
      </w:r>
      <w:r w:rsidRPr="00E16872">
        <w:rPr>
          <w:rFonts w:ascii="Arial" w:hAnsi="Arial" w:cs="Arial"/>
          <w:sz w:val="24"/>
          <w:szCs w:val="24"/>
        </w:rPr>
        <w:t xml:space="preserve">la base necessaria per la </w:t>
      </w:r>
      <w:r>
        <w:rPr>
          <w:rFonts w:ascii="Arial" w:hAnsi="Arial" w:cs="Arial"/>
          <w:sz w:val="24"/>
          <w:szCs w:val="24"/>
        </w:rPr>
        <w:t xml:space="preserve">successiva </w:t>
      </w:r>
      <w:r w:rsidRPr="00E16872">
        <w:rPr>
          <w:rFonts w:ascii="Arial" w:hAnsi="Arial" w:cs="Arial"/>
          <w:sz w:val="24"/>
          <w:szCs w:val="24"/>
        </w:rPr>
        <w:t>definizione del “</w:t>
      </w:r>
      <w:r w:rsidRPr="00E16872">
        <w:rPr>
          <w:rFonts w:ascii="Arial" w:hAnsi="Arial" w:cs="Arial"/>
          <w:b/>
          <w:i/>
          <w:sz w:val="24"/>
          <w:szCs w:val="24"/>
        </w:rPr>
        <w:t>Modello Concettuale Definitivo</w:t>
      </w:r>
      <w:r w:rsidRPr="00E16872">
        <w:rPr>
          <w:rFonts w:ascii="Arial" w:hAnsi="Arial" w:cs="Arial"/>
          <w:sz w:val="24"/>
          <w:szCs w:val="24"/>
        </w:rPr>
        <w:t xml:space="preserve">” </w:t>
      </w:r>
      <w:r>
        <w:rPr>
          <w:rFonts w:ascii="Arial" w:hAnsi="Arial" w:cs="Arial"/>
          <w:sz w:val="24"/>
          <w:szCs w:val="24"/>
        </w:rPr>
        <w:t xml:space="preserve">e per </w:t>
      </w:r>
      <w:proofErr w:type="gramStart"/>
      <w:r>
        <w:rPr>
          <w:rFonts w:ascii="Arial" w:hAnsi="Arial" w:cs="Arial"/>
          <w:sz w:val="24"/>
          <w:szCs w:val="24"/>
        </w:rPr>
        <w:t xml:space="preserve">una  </w:t>
      </w:r>
      <w:r w:rsidRPr="00E16872">
        <w:rPr>
          <w:rFonts w:ascii="Arial" w:hAnsi="Arial" w:cs="Arial"/>
          <w:sz w:val="24"/>
          <w:szCs w:val="24"/>
        </w:rPr>
        <w:t>mirata</w:t>
      </w:r>
      <w:proofErr w:type="gramEnd"/>
      <w:r w:rsidRPr="00E16872">
        <w:rPr>
          <w:rFonts w:ascii="Arial" w:hAnsi="Arial" w:cs="Arial"/>
          <w:sz w:val="24"/>
          <w:szCs w:val="24"/>
        </w:rPr>
        <w:t xml:space="preserve"> “</w:t>
      </w:r>
      <w:r w:rsidRPr="00E16872">
        <w:rPr>
          <w:rFonts w:ascii="Arial" w:hAnsi="Arial" w:cs="Arial"/>
          <w:b/>
          <w:i/>
          <w:sz w:val="24"/>
          <w:szCs w:val="24"/>
        </w:rPr>
        <w:t>Analisi di Rischio</w:t>
      </w:r>
      <w:r>
        <w:rPr>
          <w:rFonts w:ascii="Arial" w:hAnsi="Arial" w:cs="Arial"/>
          <w:b/>
          <w:i/>
          <w:sz w:val="24"/>
          <w:szCs w:val="24"/>
        </w:rPr>
        <w:t xml:space="preserve"> sanitario ambientale</w:t>
      </w:r>
      <w:r w:rsidRPr="00E16872">
        <w:rPr>
          <w:rFonts w:ascii="Arial" w:hAnsi="Arial" w:cs="Arial"/>
          <w:b/>
          <w:i/>
          <w:sz w:val="24"/>
          <w:szCs w:val="24"/>
        </w:rPr>
        <w:t xml:space="preserve"> sito-specifica</w:t>
      </w:r>
      <w:r w:rsidRPr="00E16872">
        <w:rPr>
          <w:rFonts w:ascii="Arial" w:hAnsi="Arial" w:cs="Arial"/>
          <w:sz w:val="24"/>
          <w:szCs w:val="24"/>
        </w:rPr>
        <w:t>”, nel pedissequo rispetto di quanto previsto dai dettami dell’</w:t>
      </w:r>
      <w:r w:rsidRPr="00E16872">
        <w:rPr>
          <w:rFonts w:ascii="Arial" w:hAnsi="Arial" w:cs="Arial"/>
          <w:b/>
          <w:i/>
          <w:sz w:val="24"/>
          <w:szCs w:val="24"/>
        </w:rPr>
        <w:t xml:space="preserve">art. 242 del Parte IV titolo V del </w:t>
      </w:r>
      <w:proofErr w:type="spellStart"/>
      <w:r w:rsidRPr="00E16872">
        <w:rPr>
          <w:rFonts w:ascii="Arial" w:hAnsi="Arial" w:cs="Arial"/>
          <w:b/>
          <w:i/>
          <w:sz w:val="24"/>
          <w:szCs w:val="24"/>
        </w:rPr>
        <w:t>D.Lgs</w:t>
      </w:r>
      <w:proofErr w:type="spellEnd"/>
      <w:r w:rsidRPr="00E16872">
        <w:rPr>
          <w:rFonts w:ascii="Arial" w:hAnsi="Arial" w:cs="Arial"/>
          <w:b/>
          <w:i/>
          <w:sz w:val="24"/>
          <w:szCs w:val="24"/>
        </w:rPr>
        <w:t xml:space="preserve"> 152/06 </w:t>
      </w:r>
      <w:r w:rsidRPr="00E16872">
        <w:rPr>
          <w:rFonts w:ascii="Arial" w:hAnsi="Arial" w:cs="Arial"/>
          <w:sz w:val="24"/>
          <w:szCs w:val="24"/>
        </w:rPr>
        <w:t xml:space="preserve">e </w:t>
      </w:r>
      <w:proofErr w:type="spellStart"/>
      <w:r w:rsidRPr="00E16872">
        <w:rPr>
          <w:rFonts w:ascii="Arial" w:hAnsi="Arial" w:cs="Arial"/>
          <w:sz w:val="24"/>
          <w:szCs w:val="24"/>
        </w:rPr>
        <w:t>ss.mm.ii</w:t>
      </w:r>
      <w:proofErr w:type="spellEnd"/>
      <w:r w:rsidRPr="00E16872">
        <w:rPr>
          <w:rFonts w:ascii="Arial" w:hAnsi="Arial" w:cs="Arial"/>
          <w:sz w:val="24"/>
          <w:szCs w:val="24"/>
        </w:rPr>
        <w:t>.</w:t>
      </w:r>
      <w:r>
        <w:rPr>
          <w:rFonts w:ascii="Arial" w:hAnsi="Arial" w:cs="Arial"/>
          <w:sz w:val="24"/>
          <w:szCs w:val="24"/>
        </w:rPr>
        <w:t>.</w:t>
      </w:r>
    </w:p>
    <w:p w14:paraId="021F572B"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rPr>
      </w:pPr>
      <w:r>
        <w:rPr>
          <w:rFonts w:ascii="Arial" w:hAnsi="Arial" w:cs="Arial"/>
          <w:sz w:val="24"/>
          <w:szCs w:val="24"/>
        </w:rPr>
        <w:t xml:space="preserve">Entrambe dette attività saranno sviluppate nei prossimi mesi dall’Università di </w:t>
      </w:r>
      <w:proofErr w:type="gramStart"/>
      <w:r>
        <w:rPr>
          <w:rFonts w:ascii="Arial" w:hAnsi="Arial" w:cs="Arial"/>
          <w:sz w:val="24"/>
          <w:szCs w:val="24"/>
        </w:rPr>
        <w:t>Messina,.</w:t>
      </w:r>
      <w:proofErr w:type="gramEnd"/>
      <w:r>
        <w:rPr>
          <w:rFonts w:ascii="Arial" w:hAnsi="Arial" w:cs="Arial"/>
          <w:sz w:val="24"/>
          <w:szCs w:val="24"/>
        </w:rPr>
        <w:t xml:space="preserve"> con il supporto di SOGESID, e consentiranno di disporre della documentazione finale da presentare alla Regione Siciliana per la definitiva approvazione dopo un ulteriore esame in conferenza dei servizi.</w:t>
      </w:r>
    </w:p>
    <w:p w14:paraId="075FC51F"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rPr>
      </w:pPr>
      <w:r>
        <w:rPr>
          <w:rFonts w:ascii="Arial" w:hAnsi="Arial" w:cs="Arial"/>
          <w:sz w:val="24"/>
          <w:szCs w:val="24"/>
        </w:rPr>
        <w:t xml:space="preserve">All’ottenimento del provvedimento regionale di approvazione potrà seguire la redazione del progetto delle bonifiche che sarà curato sempre da SOGESID sulla scorta di una seconda convenzione attuativa con </w:t>
      </w:r>
      <w:proofErr w:type="spellStart"/>
      <w:r>
        <w:rPr>
          <w:rFonts w:ascii="Arial" w:hAnsi="Arial" w:cs="Arial"/>
          <w:sz w:val="24"/>
          <w:szCs w:val="24"/>
        </w:rPr>
        <w:t>l’AdSP</w:t>
      </w:r>
      <w:proofErr w:type="spellEnd"/>
      <w:r>
        <w:rPr>
          <w:rFonts w:ascii="Arial" w:hAnsi="Arial" w:cs="Arial"/>
          <w:sz w:val="24"/>
          <w:szCs w:val="24"/>
        </w:rPr>
        <w:t xml:space="preserve"> dello Stretto che a questo punto è possibile compiutamente definire e sottoscrivere.</w:t>
      </w:r>
    </w:p>
    <w:p w14:paraId="0019E818" w14:textId="77777777" w:rsidR="009D0D9F" w:rsidRDefault="009D0D9F" w:rsidP="009D0D9F">
      <w:pPr>
        <w:tabs>
          <w:tab w:val="num" w:pos="709"/>
          <w:tab w:val="num" w:pos="851"/>
        </w:tabs>
        <w:spacing w:after="0" w:line="360" w:lineRule="auto"/>
        <w:ind w:right="-142" w:firstLine="17"/>
        <w:jc w:val="both"/>
        <w:rPr>
          <w:rFonts w:ascii="Arial" w:hAnsi="Arial" w:cs="Arial"/>
          <w:sz w:val="24"/>
          <w:szCs w:val="24"/>
        </w:rPr>
      </w:pPr>
      <w:r>
        <w:rPr>
          <w:rFonts w:ascii="Arial" w:hAnsi="Arial" w:cs="Arial"/>
          <w:sz w:val="24"/>
          <w:szCs w:val="24"/>
        </w:rPr>
        <w:t>Tutte le attività di predisposizione degli studi e della documentazione necessari per la presentazione alla Regione Siciliana saranno predisposte dall’Università di Messina e da SOGESID entro i prossimi novanta/centoventi giorni.</w:t>
      </w:r>
    </w:p>
    <w:p w14:paraId="7CE9A32B" w14:textId="77777777" w:rsidR="009D0D9F" w:rsidRPr="008808F6" w:rsidRDefault="009D0D9F" w:rsidP="009D0D9F"/>
    <w:p w14:paraId="0D12209C" w14:textId="77777777" w:rsidR="009D0D9F" w:rsidRDefault="009D0D9F" w:rsidP="009D0D9F"/>
    <w:p w14:paraId="3684D88B" w14:textId="77777777" w:rsidR="00CC540A" w:rsidRDefault="00CC540A"/>
    <w:sectPr w:rsidR="00CC540A" w:rsidSect="005C02B2">
      <w:headerReference w:type="default" r:id="rId8"/>
      <w:footerReference w:type="default" r:id="rId9"/>
      <w:pgSz w:w="11906" w:h="16838"/>
      <w:pgMar w:top="567" w:right="1134" w:bottom="1134" w:left="1134" w:header="4"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8814" w14:textId="77777777" w:rsidR="00B847AB" w:rsidRDefault="00B847AB" w:rsidP="009D0D9F">
      <w:pPr>
        <w:spacing w:after="0" w:line="240" w:lineRule="auto"/>
      </w:pPr>
      <w:r>
        <w:separator/>
      </w:r>
    </w:p>
  </w:endnote>
  <w:endnote w:type="continuationSeparator" w:id="0">
    <w:p w14:paraId="5025B479" w14:textId="77777777" w:rsidR="00B847AB" w:rsidRDefault="00B847AB" w:rsidP="009D0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0B99" w14:textId="77777777" w:rsidR="00882297" w:rsidRDefault="00B847AB" w:rsidP="00882297">
    <w:pPr>
      <w:pStyle w:val="Pidipagina"/>
      <w:jc w:val="center"/>
      <w:rPr>
        <w:iCs/>
        <w:sz w:val="20"/>
      </w:rPr>
    </w:pPr>
    <w:r>
      <w:rPr>
        <w:iCs/>
        <w:sz w:val="20"/>
      </w:rPr>
      <w:t>Via Vittorio Emanuele II, n. 27 - 98122 MESSINA – Tel. 090 6013201</w:t>
    </w:r>
  </w:p>
  <w:p w14:paraId="71AD999C" w14:textId="33058D5C" w:rsidR="00882297" w:rsidRDefault="00B847AB" w:rsidP="00147A6B">
    <w:pPr>
      <w:pStyle w:val="Pidipagina"/>
    </w:pPr>
    <w:r>
      <w:rPr>
        <w:iCs/>
        <w:sz w:val="20"/>
      </w:rPr>
      <w:tab/>
      <w:t xml:space="preserve">E-mail </w:t>
    </w:r>
    <w:hyperlink r:id="rId1" w:history="1">
      <w:r w:rsidR="009D0D9F" w:rsidRPr="00C757AE">
        <w:rPr>
          <w:rStyle w:val="Collegamentoipertestuale"/>
          <w:sz w:val="20"/>
          <w:szCs w:val="20"/>
        </w:rPr>
        <w:t>presidente</w:t>
      </w:r>
      <w:r w:rsidR="009D0D9F" w:rsidRPr="00C757AE">
        <w:rPr>
          <w:rStyle w:val="Collegamentoipertestuale"/>
          <w:sz w:val="20"/>
          <w:szCs w:val="20"/>
        </w:rPr>
        <w:t>@adspstretto.it</w:t>
      </w:r>
    </w:hyperlink>
    <w:r w:rsidRPr="004D2D60">
      <w:t xml:space="preserve"> –</w:t>
    </w:r>
    <w:r>
      <w:t xml:space="preserve"> </w:t>
    </w:r>
    <w:r>
      <w:rPr>
        <w:sz w:val="20"/>
        <w:szCs w:val="20"/>
      </w:rPr>
      <w:t xml:space="preserve">PEC </w:t>
    </w:r>
    <w:hyperlink r:id="rId2" w:history="1">
      <w:r w:rsidRPr="00DD2D26">
        <w:rPr>
          <w:rStyle w:val="Collegamentoipertestuale"/>
          <w:sz w:val="20"/>
          <w:szCs w:val="20"/>
        </w:rPr>
        <w:t xml:space="preserve">protocollo@pec.adspstretto.it </w:t>
      </w:r>
    </w:hyperlink>
  </w:p>
  <w:p w14:paraId="2BEAFC3F" w14:textId="77777777" w:rsidR="00A611E1" w:rsidRPr="00A611E1" w:rsidRDefault="00B847AB" w:rsidP="00882297">
    <w:pPr>
      <w:pStyle w:val="Pidipagina"/>
      <w:jc w:val="center"/>
      <w:rPr>
        <w:iCs/>
        <w:sz w:val="20"/>
        <w:szCs w:val="20"/>
      </w:rPr>
    </w:pPr>
    <w:r w:rsidRPr="00A611E1">
      <w:rPr>
        <w:sz w:val="20"/>
        <w:szCs w:val="20"/>
      </w:rPr>
      <w:t>C.F. 80005610839</w:t>
    </w:r>
  </w:p>
  <w:p w14:paraId="70DBB90D" w14:textId="77777777" w:rsidR="00882297" w:rsidRDefault="00B847AB" w:rsidP="00882297">
    <w:pPr>
      <w:pStyle w:val="Pidipagina"/>
      <w:jc w:val="right"/>
    </w:pPr>
    <w:sdt>
      <w:sdtPr>
        <w:id w:val="10473648"/>
        <w:docPartObj>
          <w:docPartGallery w:val="Page Numbers (Bottom of Page)"/>
          <w:docPartUnique/>
        </w:docPartObj>
      </w:sdtPr>
      <w:sdtEndPr/>
      <w:sdtContent>
        <w:sdt>
          <w:sdtPr>
            <w:id w:val="10473649"/>
            <w:docPartObj>
              <w:docPartGallery w:val="Page Numbers (Top of Page)"/>
              <w:docPartUnique/>
            </w:docPartObj>
          </w:sdtPr>
          <w:sdtEndPr/>
          <w:sdtContent>
            <w:r w:rsidRPr="00BA37E4">
              <w:rPr>
                <w:sz w:val="20"/>
                <w:szCs w:val="20"/>
              </w:rPr>
              <w:t xml:space="preserve">Pagina </w:t>
            </w:r>
            <w:r w:rsidRPr="00BA37E4">
              <w:rPr>
                <w:b/>
                <w:sz w:val="20"/>
                <w:szCs w:val="20"/>
              </w:rPr>
              <w:fldChar w:fldCharType="begin"/>
            </w:r>
            <w:r w:rsidRPr="00BA37E4">
              <w:rPr>
                <w:b/>
                <w:sz w:val="20"/>
                <w:szCs w:val="20"/>
              </w:rPr>
              <w:instrText>PAGE</w:instrText>
            </w:r>
            <w:r w:rsidRPr="00BA37E4">
              <w:rPr>
                <w:b/>
                <w:sz w:val="20"/>
                <w:szCs w:val="20"/>
              </w:rPr>
              <w:fldChar w:fldCharType="separate"/>
            </w:r>
            <w:r>
              <w:rPr>
                <w:b/>
                <w:noProof/>
                <w:sz w:val="20"/>
                <w:szCs w:val="20"/>
              </w:rPr>
              <w:t>1</w:t>
            </w:r>
            <w:r w:rsidRPr="00BA37E4">
              <w:rPr>
                <w:b/>
                <w:sz w:val="20"/>
                <w:szCs w:val="20"/>
              </w:rPr>
              <w:fldChar w:fldCharType="end"/>
            </w:r>
            <w:r w:rsidRPr="00BA37E4">
              <w:rPr>
                <w:sz w:val="20"/>
                <w:szCs w:val="20"/>
              </w:rPr>
              <w:t xml:space="preserve"> di </w:t>
            </w:r>
            <w:r w:rsidRPr="00BA37E4">
              <w:rPr>
                <w:b/>
                <w:sz w:val="20"/>
                <w:szCs w:val="20"/>
              </w:rPr>
              <w:fldChar w:fldCharType="begin"/>
            </w:r>
            <w:r w:rsidRPr="00BA37E4">
              <w:rPr>
                <w:b/>
                <w:sz w:val="20"/>
                <w:szCs w:val="20"/>
              </w:rPr>
              <w:instrText>NUMPAGES</w:instrText>
            </w:r>
            <w:r w:rsidRPr="00BA37E4">
              <w:rPr>
                <w:b/>
                <w:sz w:val="20"/>
                <w:szCs w:val="20"/>
              </w:rPr>
              <w:fldChar w:fldCharType="separate"/>
            </w:r>
            <w:r>
              <w:rPr>
                <w:b/>
                <w:noProof/>
                <w:sz w:val="20"/>
                <w:szCs w:val="20"/>
              </w:rPr>
              <w:t>1</w:t>
            </w:r>
            <w:r w:rsidRPr="00BA37E4">
              <w:rPr>
                <w:b/>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59208" w14:textId="77777777" w:rsidR="00B847AB" w:rsidRDefault="00B847AB" w:rsidP="009D0D9F">
      <w:pPr>
        <w:spacing w:after="0" w:line="240" w:lineRule="auto"/>
      </w:pPr>
      <w:r>
        <w:separator/>
      </w:r>
    </w:p>
  </w:footnote>
  <w:footnote w:type="continuationSeparator" w:id="0">
    <w:p w14:paraId="298E4055" w14:textId="77777777" w:rsidR="00B847AB" w:rsidRDefault="00B847AB" w:rsidP="009D0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A5D7" w14:textId="77777777" w:rsidR="00ED6D31" w:rsidRPr="00A97B85" w:rsidRDefault="00B847AB" w:rsidP="00906819">
    <w:pPr>
      <w:pStyle w:val="Intestazione"/>
      <w:jc w:val="center"/>
      <w:rPr>
        <w:smallCaps/>
        <w:color w:val="595959" w:themeColor="text1" w:themeTint="A6"/>
        <w:sz w:val="20"/>
        <w:szCs w:val="20"/>
      </w:rPr>
    </w:pPr>
    <w:r>
      <w:rPr>
        <w:noProof/>
      </w:rPr>
      <w:drawing>
        <wp:inline distT="0" distB="0" distL="0" distR="0" wp14:anchorId="01D1AA5D" wp14:editId="63816CAD">
          <wp:extent cx="3900805" cy="1435100"/>
          <wp:effectExtent l="19050" t="0" r="4445" b="0"/>
          <wp:docPr id="4" name="Immagine 4" descr="C:\Users\purrone.APMESSINA\AppData\Local\Microsoft\Windows\Temporary Internet Files\Content.Word\Logo ADSP ITA Stretto con baffo new-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rrone.APMESSINA\AppData\Local\Microsoft\Windows\Temporary Internet Files\Content.Word\Logo ADSP ITA Stretto con baffo new-03.jpg"/>
                  <pic:cNvPicPr>
                    <a:picLocks noChangeAspect="1" noChangeArrowheads="1"/>
                  </pic:cNvPicPr>
                </pic:nvPicPr>
                <pic:blipFill>
                  <a:blip r:embed="rId1"/>
                  <a:srcRect/>
                  <a:stretch>
                    <a:fillRect/>
                  </a:stretch>
                </pic:blipFill>
                <pic:spPr bwMode="auto">
                  <a:xfrm>
                    <a:off x="0" y="0"/>
                    <a:ext cx="3900805" cy="1435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9C6"/>
    <w:multiLevelType w:val="hybridMultilevel"/>
    <w:tmpl w:val="F3DC0A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D9F"/>
    <w:rsid w:val="009D0D9F"/>
    <w:rsid w:val="00B847AB"/>
    <w:rsid w:val="00CC54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D4AEE"/>
  <w15:chartTrackingRefBased/>
  <w15:docId w15:val="{BF8BD59E-C0D0-4F7C-B77B-0C29A07E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D0D9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9D0D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D0D9F"/>
  </w:style>
  <w:style w:type="paragraph" w:styleId="Intestazione">
    <w:name w:val="header"/>
    <w:basedOn w:val="Normale"/>
    <w:link w:val="IntestazioneCarattere"/>
    <w:uiPriority w:val="99"/>
    <w:unhideWhenUsed/>
    <w:rsid w:val="009D0D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D0D9F"/>
  </w:style>
  <w:style w:type="character" w:styleId="Collegamentoipertestuale">
    <w:name w:val="Hyperlink"/>
    <w:basedOn w:val="Carpredefinitoparagrafo"/>
    <w:uiPriority w:val="99"/>
    <w:unhideWhenUsed/>
    <w:rsid w:val="009D0D9F"/>
    <w:rPr>
      <w:color w:val="0000FF"/>
      <w:u w:val="single"/>
    </w:rPr>
  </w:style>
  <w:style w:type="character" w:styleId="Menzionenonrisolta">
    <w:name w:val="Unresolved Mention"/>
    <w:basedOn w:val="Carpredefinitoparagrafo"/>
    <w:uiPriority w:val="99"/>
    <w:semiHidden/>
    <w:unhideWhenUsed/>
    <w:rsid w:val="009D0D9F"/>
    <w:rPr>
      <w:color w:val="605E5C"/>
      <w:shd w:val="clear" w:color="auto" w:fill="E1DFDD"/>
    </w:rPr>
  </w:style>
  <w:style w:type="paragraph" w:styleId="Paragrafoelenco">
    <w:name w:val="List Paragraph"/>
    <w:basedOn w:val="Normale"/>
    <w:link w:val="ParagrafoelencoCarattere"/>
    <w:uiPriority w:val="34"/>
    <w:qFormat/>
    <w:rsid w:val="009D0D9F"/>
    <w:pPr>
      <w:spacing w:after="0" w:line="240" w:lineRule="auto"/>
      <w:ind w:left="720"/>
      <w:contextualSpacing/>
      <w:jc w:val="both"/>
    </w:pPr>
    <w:rPr>
      <w:rFonts w:ascii="Arial" w:eastAsia="Times New Roman" w:hAnsi="Arial" w:cs="Times New Roman"/>
      <w:sz w:val="24"/>
      <w:szCs w:val="24"/>
      <w:lang w:eastAsia="it-IT"/>
    </w:rPr>
  </w:style>
  <w:style w:type="character" w:customStyle="1" w:styleId="ParagrafoelencoCarattere">
    <w:name w:val="Paragrafo elenco Carattere"/>
    <w:link w:val="Paragrafoelenco"/>
    <w:uiPriority w:val="34"/>
    <w:locked/>
    <w:rsid w:val="009D0D9F"/>
    <w:rPr>
      <w:rFonts w:ascii="Arial" w:eastAsia="Times New Roman" w:hAnsi="Arial"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rotocollo@pec.adspstretto.it%20" TargetMode="External"/><Relationship Id="rId1" Type="http://schemas.openxmlformats.org/officeDocument/2006/relationships/hyperlink" Target="mailto:presidente@adspstret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1012</Words>
  <Characters>5771</Characters>
  <Application>Microsoft Office Word</Application>
  <DocSecurity>0</DocSecurity>
  <Lines>48</Lines>
  <Paragraphs>13</Paragraphs>
  <ScaleCrop>false</ScaleCrop>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Cristiana Laurà</dc:creator>
  <cp:keywords/>
  <dc:description/>
  <cp:lastModifiedBy>Maria Cristiana Laurà</cp:lastModifiedBy>
  <cp:revision>1</cp:revision>
  <dcterms:created xsi:type="dcterms:W3CDTF">2022-01-03T11:57:00Z</dcterms:created>
  <dcterms:modified xsi:type="dcterms:W3CDTF">2022-01-03T12:02:00Z</dcterms:modified>
</cp:coreProperties>
</file>